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39.790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9,375 ha (nove hectares, trinta e sete ares e cinquenta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a62da3f7-b1ee-4504-adb0-34392e747f90</w:t>
      </w:r>
      <w:r>
        <w:rPr>
          <w:b w:val="0"/>
          <w:sz w:val="24"/>
        </w:rPr>
        <w:t xml:space="preserve"> (Código do Imóvel Rural nº 9503352274393), para tal trabalho fora recolhida a Anotação de Responsabilidade Técnica (ART) nº </w:t>
      </w:r>
      <w:r>
        <w:rPr>
          <w:b/>
          <w:sz w:val="24"/>
        </w:rPr>
        <w:t>2320268500506799 - 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20 da Gleba 11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19-G da Gleba 11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18 da Gleba 11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19-E da Gleba 11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20-E, GLEBA 11, S.T. GY-PARANÁ, P.I.C. GY-PARANÁ (Matrícula nº 15.152); LOTE 20-D (REM.), GLEBA 11, S.T. GY-PARANÁ, P.I.C. GY-PARANÁ (Matrícula nº 46.124)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19-G, GLEBA 11, S.T. GY-PARANÁ, P.I.C. GY-PARANÁ (Matrícula nº 39791)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19-E, GLEBA 11, S.T. GY-PARANÁ, P.I.C. GY-PARANÁ (Matrícula nº 39.789)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20 da Gleba 11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20-E, GLEBA 11, S.T. GY-PARANÁ, P.I.C. GY-PARANÁ (Matrícula nº 15.152); LOTE 20-D (REM.), GLEBA 11, S.T. GY-PARANÁ, P.I.C. GY-PARANÁ (Matrícula nº 46.124)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19-G da Gleba 11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19-G, GLEBA 11, S.T. GY-PARANÁ, P.I.C. GY-PARANÁ (Matrícula nº 39791)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18 da Gleba 11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19-E da Gleba 11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19-E, GLEBA 11, S.T. GY-PARANÁ, P.I.C. GY-PARANÁ (Matrícula nº 39.789)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0,0989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1,05%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11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