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, inscrito no CPF sob o nº , proprietário do imóvel rural denominado "LT45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