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(26.9900 ha / R$ 265,079.05)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⚖️ Rateado proporcionalmente entre 4 lotes (26.9900 ha total)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R$ 4.049,57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78-A (13.3100 ha / R$ 130,722.57)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Averbacao Matricula Mae (13.3100/26.9900 ha = 49.3%)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R$ 5.349,71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78-A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78-A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78-A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78-A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78-A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13.3100 ha × R$ 400/ha (mín. R$ 3800)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78-B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Averbacao Matricula Mae (4.8400/26.9900 ha = 17.9%)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R$ 2.380,72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78-B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78-B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78-B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78-B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78-B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78-C (4.0000 ha / R$ 39,285.52)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Averbacao Matricula Mae (4.0000/26.9900 ha = 14.8%)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R$ 2.028,33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78-C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78-C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78-C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78-C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78-C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4.0000 ha × R$ 750/ha (mín. R$ 2800)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R$ 3.200,00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78-D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Averbacao Matricula Mae (4.8400/26.9900 ha = 17.9%)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R$ 2.380,72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78-D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78-D (serv.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78-D (serv.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78-D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78-D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DOACAO:   R$ 35.089,05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R$ 35.089,05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