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ORC-2026-045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Jose Torres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Regularização Fundiária — Lote 39G Gleba 11, Ipocyssara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DOACAO</w:t>
      </w:r>
    </w:p>
    <w:p>
      <w:pPr>
        <w:spacing w:before="80" w:after="60"/>
      </w:pPr>
      <w:r>
        <w:rPr>
          <w:rFonts w:ascii="Arial" w:hAnsi="Arial"/>
          <w:b/>
          <w:color w:val="F58220"/>
          <w:sz w:val="22"/>
        </w:rPr>
        <w:t>MATRICULA 1: LT39G</w:t>
      </w:r>
    </w:p>
    <w:p>
      <w:pPr>
        <w:spacing w:before="0" w:after="0"/>
        <w:pBdr>
          <w:bottom w:val="single" w:sz="3" w:color="F58220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LT39G (7.2600 ha / R$ 56,453.98)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Doação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R$ 1.213,70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R$ 687,70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— de ofício (12ª Nota: sem cobrança)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Declaração ITCMD — SEFIN-RO (R$ 300 × 1 donatário(s))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ITCMD — Imposto sobre Doação (Lei RO 959/2000) [ISENTO]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(15% s/ Total Cartorial R$ 1,943.06, mín. R$ 300) (rateado)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R$ 2.543,06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Subtotal Bruto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R$ 2.543,06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Desconto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TOTAL LIQUIDO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22"/>
              </w:rPr>
              <w:t>R$ 2.543,06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R$ 2.543,06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