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SÔNIA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Lotes 02-03-06, Quadra  , INDUSTRIAL STECCA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DEMARCAÇÃO DE TERRENO URBANO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R$ 1.500,00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DEMARCAÇÃO DE TERRENO URBANO</w:t>
      </w:r>
    </w:p>
    <w:p>
      <w:pPr>
        <w:spacing w:after="80"/>
        <w:jc w:val="both"/>
      </w:pPr>
      <w:r>
        <w:rPr>
          <w:rFonts w:ascii="Arial" w:hAnsi="Arial"/>
          <w:sz w:val="18"/>
        </w:rPr>
        <w:t>Levantamento topográfico da quadra com equipamento RTK, amarrando o terreno aos marcos e alinhamentos existentes para identificar as distorções acumuladas entre os títulos e a ocupação real. Análise comparativa entre as medidas de matrícula, o projeto de loteamento e a situação de campo, com compensação técnica das divergências. Definição e materialização definitiva dos limites do terreno com marcos/piquetes, garantindo que a demarcação respeite simultaneamente o título do imóvel e o alinhamento consolidado da quadra. Entrega de croqui/planta da demarcação.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R$ 1.500,00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